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897F48" w14:textId="1EE01435" w:rsidR="00BF7180" w:rsidRPr="00B043C9" w:rsidRDefault="00BF7180" w:rsidP="005F7123">
      <w:pPr>
        <w:jc w:val="both"/>
        <w:rPr>
          <w:rFonts w:ascii="Arial" w:hAnsi="Arial" w:cs="Arial"/>
          <w:b/>
          <w:sz w:val="22"/>
          <w:szCs w:val="22"/>
        </w:rPr>
      </w:pPr>
      <w:r w:rsidRPr="00B043C9">
        <w:rPr>
          <w:rFonts w:ascii="Arial" w:hAnsi="Arial" w:cs="Arial"/>
          <w:b/>
          <w:sz w:val="22"/>
          <w:szCs w:val="22"/>
        </w:rPr>
        <w:t>Resistenzen</w:t>
      </w:r>
      <w:r w:rsidR="0000596B" w:rsidRPr="00B043C9">
        <w:rPr>
          <w:rFonts w:ascii="Arial" w:hAnsi="Arial" w:cs="Arial"/>
          <w:b/>
          <w:sz w:val="22"/>
          <w:szCs w:val="22"/>
        </w:rPr>
        <w:t xml:space="preserve"> und Resistenzmanagement</w:t>
      </w:r>
    </w:p>
    <w:p w14:paraId="33E4B6F6" w14:textId="77777777" w:rsidR="00BF7180" w:rsidRPr="00B043C9" w:rsidRDefault="00BF7180" w:rsidP="005F7123">
      <w:pPr>
        <w:spacing w:before="120" w:after="120" w:line="312" w:lineRule="auto"/>
        <w:jc w:val="both"/>
        <w:rPr>
          <w:rFonts w:ascii="Arial" w:hAnsi="Arial" w:cs="Arial"/>
          <w:sz w:val="22"/>
          <w:szCs w:val="22"/>
        </w:rPr>
      </w:pPr>
      <w:r w:rsidRPr="00B043C9">
        <w:rPr>
          <w:rFonts w:ascii="Arial" w:hAnsi="Arial" w:cs="Arial"/>
          <w:sz w:val="22"/>
          <w:szCs w:val="22"/>
        </w:rPr>
        <w:t xml:space="preserve">Resistenzen sind ein unvermeidbares Naturphänomen durch Anpassung von Populationen an einen Wirkstoff. Die Resistenzbildung beruht auf der genetischen Vielfalt und damit Anpassungsfähigkeit der Population und seiner Individuen. Mögliche Mechanismen sind Mutationen, Rekombination und Invasion neuer Individuen, die den Genpool erweitern. </w:t>
      </w:r>
    </w:p>
    <w:p w14:paraId="684BD1FB" w14:textId="77777777" w:rsidR="00BF7180" w:rsidRPr="00B043C9" w:rsidRDefault="00BF7180" w:rsidP="005F7123">
      <w:pPr>
        <w:spacing w:before="120" w:after="120" w:line="312" w:lineRule="auto"/>
        <w:jc w:val="both"/>
        <w:rPr>
          <w:rFonts w:ascii="Arial" w:hAnsi="Arial" w:cs="Arial"/>
          <w:sz w:val="22"/>
          <w:szCs w:val="22"/>
        </w:rPr>
      </w:pPr>
      <w:r w:rsidRPr="00B043C9">
        <w:rPr>
          <w:rFonts w:ascii="Arial" w:hAnsi="Arial" w:cs="Arial"/>
          <w:sz w:val="22"/>
          <w:szCs w:val="22"/>
        </w:rPr>
        <w:t xml:space="preserve">Ein erhöhtes </w:t>
      </w:r>
      <w:r w:rsidRPr="00B043C9">
        <w:rPr>
          <w:rFonts w:ascii="Arial" w:hAnsi="Arial" w:cs="Arial"/>
          <w:b/>
          <w:sz w:val="22"/>
          <w:szCs w:val="22"/>
        </w:rPr>
        <w:t>Resistenzrisiko</w:t>
      </w:r>
      <w:r w:rsidRPr="00B043C9">
        <w:rPr>
          <w:rFonts w:ascii="Arial" w:hAnsi="Arial" w:cs="Arial"/>
          <w:sz w:val="22"/>
          <w:szCs w:val="22"/>
        </w:rPr>
        <w:t xml:space="preserve"> besteht bei Schaderregerpopulationen</w:t>
      </w:r>
    </w:p>
    <w:p w14:paraId="3FC3897D" w14:textId="77777777" w:rsidR="00BF7180" w:rsidRPr="005F7123" w:rsidRDefault="00BF7180" w:rsidP="005F7123">
      <w:pPr>
        <w:pStyle w:val="Listenabsatz"/>
        <w:numPr>
          <w:ilvl w:val="0"/>
          <w:numId w:val="4"/>
        </w:numPr>
        <w:spacing w:before="120" w:after="120" w:line="312" w:lineRule="auto"/>
        <w:jc w:val="both"/>
        <w:rPr>
          <w:rFonts w:ascii="Arial" w:hAnsi="Arial" w:cs="Arial"/>
        </w:rPr>
      </w:pPr>
      <w:r w:rsidRPr="005F7123">
        <w:rPr>
          <w:rFonts w:ascii="Arial" w:hAnsi="Arial" w:cs="Arial"/>
        </w:rPr>
        <w:t>mit großer Individuenzahl,</w:t>
      </w:r>
    </w:p>
    <w:p w14:paraId="4B7E4B30" w14:textId="77777777" w:rsidR="00BF7180" w:rsidRPr="005F7123" w:rsidRDefault="00BF7180" w:rsidP="005F7123">
      <w:pPr>
        <w:pStyle w:val="Listenabsatz"/>
        <w:numPr>
          <w:ilvl w:val="0"/>
          <w:numId w:val="4"/>
        </w:numPr>
        <w:spacing w:before="120" w:after="120" w:line="312" w:lineRule="auto"/>
        <w:jc w:val="both"/>
        <w:rPr>
          <w:rFonts w:ascii="Arial" w:hAnsi="Arial" w:cs="Arial"/>
        </w:rPr>
      </w:pPr>
      <w:r w:rsidRPr="005F7123">
        <w:rPr>
          <w:rFonts w:ascii="Arial" w:hAnsi="Arial" w:cs="Arial"/>
        </w:rPr>
        <w:t>vielen Vermehrungszyklen pro Saison und</w:t>
      </w:r>
    </w:p>
    <w:p w14:paraId="471754EB" w14:textId="77777777" w:rsidR="00BF7180" w:rsidRPr="005F7123" w:rsidRDefault="00BF7180" w:rsidP="005F7123">
      <w:pPr>
        <w:pStyle w:val="Listenabsatz"/>
        <w:numPr>
          <w:ilvl w:val="0"/>
          <w:numId w:val="4"/>
        </w:numPr>
        <w:spacing w:before="120" w:after="120" w:line="312" w:lineRule="auto"/>
        <w:jc w:val="both"/>
        <w:rPr>
          <w:rFonts w:ascii="Arial" w:hAnsi="Arial" w:cs="Arial"/>
        </w:rPr>
      </w:pPr>
      <w:r w:rsidRPr="005F7123">
        <w:rPr>
          <w:rFonts w:ascii="Arial" w:hAnsi="Arial" w:cs="Arial"/>
        </w:rPr>
        <w:t>bei Mehrfachanwendung desselben Wirkstoffs.</w:t>
      </w:r>
    </w:p>
    <w:p w14:paraId="65218519" w14:textId="77777777" w:rsidR="00BF7180" w:rsidRPr="00B043C9" w:rsidRDefault="00BF7180" w:rsidP="005F7123">
      <w:pPr>
        <w:spacing w:before="120" w:after="120" w:line="312" w:lineRule="auto"/>
        <w:jc w:val="both"/>
        <w:rPr>
          <w:rFonts w:ascii="Arial" w:hAnsi="Arial" w:cs="Arial"/>
          <w:sz w:val="22"/>
          <w:szCs w:val="22"/>
        </w:rPr>
      </w:pPr>
      <w:r w:rsidRPr="00B043C9">
        <w:rPr>
          <w:rFonts w:ascii="Arial" w:hAnsi="Arial" w:cs="Arial"/>
          <w:sz w:val="22"/>
          <w:szCs w:val="22"/>
        </w:rPr>
        <w:t xml:space="preserve">Letzteres ist dabei die treibende Kraft für die Entstehung resistenter Individuen. </w:t>
      </w:r>
    </w:p>
    <w:p w14:paraId="51FC0618" w14:textId="77777777" w:rsidR="00BF7180" w:rsidRPr="00B043C9" w:rsidRDefault="00BF7180" w:rsidP="005F7123">
      <w:pPr>
        <w:spacing w:before="120" w:after="120" w:line="312" w:lineRule="auto"/>
        <w:jc w:val="both"/>
        <w:rPr>
          <w:rFonts w:ascii="Arial" w:hAnsi="Arial" w:cs="Arial"/>
          <w:sz w:val="22"/>
          <w:szCs w:val="22"/>
        </w:rPr>
      </w:pPr>
      <w:r w:rsidRPr="00B043C9">
        <w:rPr>
          <w:rFonts w:ascii="Arial" w:hAnsi="Arial" w:cs="Arial"/>
          <w:sz w:val="22"/>
          <w:szCs w:val="22"/>
        </w:rPr>
        <w:t xml:space="preserve">Die vielfach diskutierte </w:t>
      </w:r>
      <w:r w:rsidRPr="00B043C9">
        <w:rPr>
          <w:rFonts w:ascii="Arial" w:hAnsi="Arial" w:cs="Arial"/>
          <w:b/>
          <w:i/>
          <w:sz w:val="22"/>
          <w:szCs w:val="22"/>
        </w:rPr>
        <w:t>Unterdosierung</w:t>
      </w:r>
      <w:r w:rsidRPr="00B043C9">
        <w:rPr>
          <w:rFonts w:ascii="Arial" w:hAnsi="Arial" w:cs="Arial"/>
          <w:sz w:val="22"/>
          <w:szCs w:val="22"/>
        </w:rPr>
        <w:t xml:space="preserve"> durch verringerte Aufwandmengen fördert zwar die Resistenzbildung, da sie möglicherweise mehr Individuen eine Anpassung, durch z.B. Vermehrung des Wirkorts (=Kompensation), verstärktem enzymatischen Abbau des Wirkstoffs oder verminderter Wirkstoffaufnahme ermöglicht. Es muss allerdings berücksichtigt werden, dass es im Bestand stets zu starken Verdünnungseffekten kommt und es daher auch bei voller Aufwandmenge unvermeidlich ist, dass ein Teil der Population mit verringerten Wirkstoffdosen konfrontiert wird. Eine durch Unterdosierung entstandene Resistenz ist umkehrbar (=</w:t>
      </w:r>
      <w:r w:rsidRPr="00B043C9">
        <w:rPr>
          <w:rFonts w:ascii="Arial" w:hAnsi="Arial" w:cs="Arial"/>
          <w:b/>
          <w:i/>
          <w:sz w:val="22"/>
          <w:szCs w:val="22"/>
        </w:rPr>
        <w:t>reversibel</w:t>
      </w:r>
      <w:r w:rsidRPr="00B043C9">
        <w:rPr>
          <w:rFonts w:ascii="Arial" w:hAnsi="Arial" w:cs="Arial"/>
          <w:sz w:val="22"/>
          <w:szCs w:val="22"/>
        </w:rPr>
        <w:t xml:space="preserve">) und durch Resistenzmanagement beherrschbar.  </w:t>
      </w:r>
    </w:p>
    <w:p w14:paraId="4C82A3C7" w14:textId="77FF4B54" w:rsidR="00BF7180" w:rsidRPr="00B043C9" w:rsidRDefault="00BF7180" w:rsidP="005F7123">
      <w:pPr>
        <w:spacing w:before="120" w:after="120" w:line="312" w:lineRule="auto"/>
        <w:jc w:val="both"/>
        <w:rPr>
          <w:rFonts w:ascii="Arial" w:hAnsi="Arial" w:cs="Arial"/>
          <w:sz w:val="22"/>
          <w:szCs w:val="22"/>
        </w:rPr>
      </w:pPr>
      <w:r w:rsidRPr="00B043C9">
        <w:rPr>
          <w:rFonts w:ascii="Arial" w:hAnsi="Arial" w:cs="Arial"/>
          <w:sz w:val="22"/>
          <w:szCs w:val="22"/>
        </w:rPr>
        <w:t xml:space="preserve">Gefährlicher sind Resistenzen, die durch Punktmutationen am Wirkort ausgelöst werden (z.B. gegen </w:t>
      </w:r>
      <w:proofErr w:type="spellStart"/>
      <w:r w:rsidRPr="00B043C9">
        <w:rPr>
          <w:rFonts w:ascii="Arial" w:hAnsi="Arial" w:cs="Arial"/>
          <w:sz w:val="22"/>
          <w:szCs w:val="22"/>
        </w:rPr>
        <w:t>Benomyl</w:t>
      </w:r>
      <w:proofErr w:type="spellEnd"/>
      <w:r w:rsidRPr="00B043C9">
        <w:rPr>
          <w:rFonts w:ascii="Arial" w:hAnsi="Arial" w:cs="Arial"/>
          <w:sz w:val="22"/>
          <w:szCs w:val="22"/>
        </w:rPr>
        <w:t xml:space="preserve">, Phenylamide, </w:t>
      </w:r>
      <w:proofErr w:type="spellStart"/>
      <w:r w:rsidRPr="00B043C9">
        <w:rPr>
          <w:rFonts w:ascii="Arial" w:hAnsi="Arial" w:cs="Arial"/>
          <w:sz w:val="22"/>
          <w:szCs w:val="22"/>
        </w:rPr>
        <w:t>Strobilurine</w:t>
      </w:r>
      <w:proofErr w:type="spellEnd"/>
      <w:r w:rsidRPr="00B043C9">
        <w:rPr>
          <w:rFonts w:ascii="Arial" w:hAnsi="Arial" w:cs="Arial"/>
          <w:sz w:val="22"/>
          <w:szCs w:val="22"/>
        </w:rPr>
        <w:t xml:space="preserve">). Sie wird nicht durch Unterdosierung, sondern durch </w:t>
      </w:r>
      <w:r w:rsidRPr="00B043C9">
        <w:rPr>
          <w:rFonts w:ascii="Arial" w:hAnsi="Arial" w:cs="Arial"/>
          <w:b/>
          <w:i/>
          <w:sz w:val="22"/>
          <w:szCs w:val="22"/>
        </w:rPr>
        <w:t>häufige Anwendung eines Wirkstoffs</w:t>
      </w:r>
      <w:r w:rsidRPr="00B043C9">
        <w:rPr>
          <w:rFonts w:ascii="Arial" w:hAnsi="Arial" w:cs="Arial"/>
          <w:sz w:val="22"/>
          <w:szCs w:val="22"/>
        </w:rPr>
        <w:t xml:space="preserve"> gefördert und ist meist nicht durch Resistenzmanagement beherrschbar und damit nicht umkehrbar (=</w:t>
      </w:r>
      <w:r w:rsidRPr="00B043C9">
        <w:rPr>
          <w:rFonts w:ascii="Arial" w:hAnsi="Arial" w:cs="Arial"/>
          <w:b/>
          <w:i/>
          <w:sz w:val="22"/>
          <w:szCs w:val="22"/>
        </w:rPr>
        <w:t>irreversibel</w:t>
      </w:r>
      <w:r w:rsidRPr="00B043C9">
        <w:rPr>
          <w:rFonts w:ascii="Arial" w:hAnsi="Arial" w:cs="Arial"/>
          <w:sz w:val="22"/>
          <w:szCs w:val="22"/>
        </w:rPr>
        <w:t>).</w:t>
      </w:r>
    </w:p>
    <w:p w14:paraId="2BE83FED" w14:textId="609D5041" w:rsidR="00BF7180" w:rsidRDefault="00BF7180" w:rsidP="009B3F03">
      <w:pPr>
        <w:spacing w:before="120" w:after="120" w:line="312" w:lineRule="auto"/>
        <w:jc w:val="both"/>
        <w:rPr>
          <w:rFonts w:ascii="Arial" w:hAnsi="Arial" w:cs="Arial"/>
          <w:sz w:val="22"/>
          <w:szCs w:val="22"/>
        </w:rPr>
      </w:pPr>
      <w:r w:rsidRPr="00B043C9">
        <w:rPr>
          <w:rFonts w:ascii="Arial" w:hAnsi="Arial" w:cs="Arial"/>
          <w:sz w:val="22"/>
          <w:szCs w:val="22"/>
        </w:rPr>
        <w:t xml:space="preserve">Ein </w:t>
      </w:r>
      <w:r w:rsidRPr="00B043C9">
        <w:rPr>
          <w:rFonts w:ascii="Arial" w:hAnsi="Arial" w:cs="Arial"/>
          <w:b/>
          <w:sz w:val="22"/>
          <w:szCs w:val="22"/>
        </w:rPr>
        <w:t>Resistenzmanagement</w:t>
      </w:r>
      <w:r w:rsidRPr="00B043C9">
        <w:rPr>
          <w:rFonts w:ascii="Arial" w:hAnsi="Arial" w:cs="Arial"/>
          <w:sz w:val="22"/>
          <w:szCs w:val="22"/>
        </w:rPr>
        <w:t xml:space="preserve"> ist daher bei der Anwendung von chemischen Pflanzenschutzmitteln immer nötig. Dazu gehören:</w:t>
      </w:r>
    </w:p>
    <w:p w14:paraId="07E9273D" w14:textId="1495C3B5" w:rsidR="00BF7180" w:rsidRPr="00B043C9" w:rsidRDefault="009B3F03" w:rsidP="005F7123">
      <w:pPr>
        <w:spacing w:before="120" w:after="120" w:line="312" w:lineRule="auto"/>
        <w:jc w:val="both"/>
        <w:rPr>
          <w:rFonts w:ascii="Arial" w:hAnsi="Arial" w:cs="Arial"/>
          <w:b/>
          <w:sz w:val="20"/>
          <w:szCs w:val="20"/>
        </w:rPr>
      </w:pPr>
      <w:r w:rsidRPr="009B3F03">
        <w:rPr>
          <w:rFonts w:ascii="Arial" w:hAnsi="Arial" w:cs="Arial"/>
          <w:noProof/>
          <w:sz w:val="22"/>
          <w:szCs w:val="22"/>
        </w:rPr>
        <mc:AlternateContent>
          <mc:Choice Requires="wps">
            <w:drawing>
              <wp:anchor distT="45720" distB="45720" distL="114300" distR="114300" simplePos="0" relativeHeight="251659264" behindDoc="0" locked="0" layoutInCell="1" allowOverlap="1" wp14:anchorId="606DBEF6" wp14:editId="01E055F4">
                <wp:simplePos x="0" y="0"/>
                <wp:positionH relativeFrom="column">
                  <wp:posOffset>3175</wp:posOffset>
                </wp:positionH>
                <wp:positionV relativeFrom="paragraph">
                  <wp:posOffset>10160</wp:posOffset>
                </wp:positionV>
                <wp:extent cx="6030000" cy="1404620"/>
                <wp:effectExtent l="0" t="0" r="27940" b="1651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0000" cy="1404620"/>
                        </a:xfrm>
                        <a:prstGeom prst="rect">
                          <a:avLst/>
                        </a:prstGeom>
                        <a:solidFill>
                          <a:srgbClr val="FFFFFF"/>
                        </a:solidFill>
                        <a:ln w="9525">
                          <a:solidFill>
                            <a:srgbClr val="000000"/>
                          </a:solidFill>
                          <a:miter lim="800000"/>
                          <a:headEnd/>
                          <a:tailEnd/>
                        </a:ln>
                      </wps:spPr>
                      <wps:txbx>
                        <w:txbxContent>
                          <w:p w14:paraId="7C176165" w14:textId="77777777" w:rsidR="009B3F03" w:rsidRPr="00B043C9" w:rsidRDefault="009B3F03" w:rsidP="009B3F03">
                            <w:pPr>
                              <w:pStyle w:val="Listenabsatz"/>
                              <w:numPr>
                                <w:ilvl w:val="0"/>
                                <w:numId w:val="4"/>
                              </w:numPr>
                              <w:spacing w:before="120" w:after="120" w:line="312" w:lineRule="auto"/>
                              <w:jc w:val="both"/>
                              <w:rPr>
                                <w:rFonts w:ascii="Arial" w:hAnsi="Arial" w:cs="Arial"/>
                              </w:rPr>
                            </w:pPr>
                            <w:r w:rsidRPr="00B043C9">
                              <w:rPr>
                                <w:rFonts w:ascii="Arial" w:hAnsi="Arial" w:cs="Arial"/>
                              </w:rPr>
                              <w:t xml:space="preserve">Bei jeder PS-Maßnahme </w:t>
                            </w:r>
                            <w:r w:rsidRPr="005F7123">
                              <w:rPr>
                                <w:rFonts w:ascii="Arial" w:hAnsi="Arial" w:cs="Arial"/>
                                <w:b/>
                                <w:bCs/>
                              </w:rPr>
                              <w:t>optimale Wirksamkeit</w:t>
                            </w:r>
                            <w:r w:rsidRPr="00B043C9">
                              <w:rPr>
                                <w:rFonts w:ascii="Arial" w:hAnsi="Arial" w:cs="Arial"/>
                              </w:rPr>
                              <w:t xml:space="preserve"> sicherstellen</w:t>
                            </w:r>
                          </w:p>
                          <w:p w14:paraId="28006524" w14:textId="77777777" w:rsidR="009B3F03" w:rsidRPr="00B043C9" w:rsidRDefault="009B3F03" w:rsidP="009B3F03">
                            <w:pPr>
                              <w:pStyle w:val="Listenabsatz"/>
                              <w:numPr>
                                <w:ilvl w:val="0"/>
                                <w:numId w:val="4"/>
                              </w:numPr>
                              <w:spacing w:before="120" w:after="120" w:line="312" w:lineRule="auto"/>
                              <w:jc w:val="both"/>
                              <w:rPr>
                                <w:rFonts w:ascii="Arial" w:hAnsi="Arial" w:cs="Arial"/>
                              </w:rPr>
                            </w:pPr>
                            <w:r w:rsidRPr="00B043C9">
                              <w:rPr>
                                <w:rFonts w:ascii="Arial" w:hAnsi="Arial" w:cs="Arial"/>
                              </w:rPr>
                              <w:t>Beschränkung der Anwendungshäufigkeit auf ein notwendiges Maß (unbedingt vorbeugende Maßnahmen ergreifen, wie z.B. weitgestellte Fruchtfolge)</w:t>
                            </w:r>
                          </w:p>
                          <w:p w14:paraId="3234DCE3" w14:textId="77777777" w:rsidR="009B3F03" w:rsidRPr="00B043C9" w:rsidRDefault="009B3F03" w:rsidP="009B3F03">
                            <w:pPr>
                              <w:pStyle w:val="Listenabsatz"/>
                              <w:numPr>
                                <w:ilvl w:val="0"/>
                                <w:numId w:val="4"/>
                              </w:numPr>
                              <w:spacing w:before="120" w:after="120" w:line="312" w:lineRule="auto"/>
                              <w:jc w:val="both"/>
                              <w:rPr>
                                <w:rFonts w:ascii="Arial" w:hAnsi="Arial" w:cs="Arial"/>
                              </w:rPr>
                            </w:pPr>
                            <w:r w:rsidRPr="005F7123">
                              <w:rPr>
                                <w:rFonts w:ascii="Arial" w:hAnsi="Arial" w:cs="Arial"/>
                                <w:b/>
                                <w:bCs/>
                              </w:rPr>
                              <w:t>Wirkstoffwechsel</w:t>
                            </w:r>
                            <w:r w:rsidRPr="005F7123">
                              <w:rPr>
                                <w:rFonts w:ascii="Arial" w:hAnsi="Arial" w:cs="Arial"/>
                              </w:rPr>
                              <w:t xml:space="preserve"> </w:t>
                            </w:r>
                            <w:r w:rsidRPr="00B043C9">
                              <w:rPr>
                                <w:rFonts w:ascii="Arial" w:hAnsi="Arial" w:cs="Arial"/>
                              </w:rPr>
                              <w:t>innerhalb der Saison (dann ist auch eine Unterdosierung wenig problematisch)</w:t>
                            </w:r>
                          </w:p>
                          <w:p w14:paraId="310ABCE5" w14:textId="77777777" w:rsidR="009B3F03" w:rsidRPr="00B043C9" w:rsidRDefault="009B3F03" w:rsidP="009B3F03">
                            <w:pPr>
                              <w:pStyle w:val="Listenabsatz"/>
                              <w:numPr>
                                <w:ilvl w:val="0"/>
                                <w:numId w:val="4"/>
                              </w:numPr>
                              <w:spacing w:before="120" w:after="120" w:line="312" w:lineRule="auto"/>
                              <w:jc w:val="both"/>
                              <w:rPr>
                                <w:rFonts w:ascii="Arial" w:hAnsi="Arial" w:cs="Arial"/>
                              </w:rPr>
                            </w:pPr>
                            <w:r w:rsidRPr="00B043C9">
                              <w:rPr>
                                <w:rFonts w:ascii="Arial" w:hAnsi="Arial" w:cs="Arial"/>
                              </w:rPr>
                              <w:t xml:space="preserve">Einsatz von Wirkstoffen, die an mehreren Stellen (multi-site </w:t>
                            </w:r>
                            <w:proofErr w:type="spellStart"/>
                            <w:r w:rsidRPr="00B043C9">
                              <w:rPr>
                                <w:rFonts w:ascii="Arial" w:hAnsi="Arial" w:cs="Arial"/>
                              </w:rPr>
                              <w:t>inhibitors</w:t>
                            </w:r>
                            <w:proofErr w:type="spellEnd"/>
                            <w:r w:rsidRPr="00B043C9">
                              <w:rPr>
                                <w:rFonts w:ascii="Arial" w:hAnsi="Arial" w:cs="Arial"/>
                              </w:rPr>
                              <w:t xml:space="preserve">) und nicht nur einer Stelle (single-site </w:t>
                            </w:r>
                            <w:proofErr w:type="spellStart"/>
                            <w:r w:rsidRPr="00B043C9">
                              <w:rPr>
                                <w:rFonts w:ascii="Arial" w:hAnsi="Arial" w:cs="Arial"/>
                              </w:rPr>
                              <w:t>inhibitors</w:t>
                            </w:r>
                            <w:proofErr w:type="spellEnd"/>
                            <w:r w:rsidRPr="00B043C9">
                              <w:rPr>
                                <w:rFonts w:ascii="Arial" w:hAnsi="Arial" w:cs="Arial"/>
                              </w:rPr>
                              <w:t>) im Stoffwechsel eingreifen</w:t>
                            </w:r>
                          </w:p>
                          <w:p w14:paraId="03FD5B29" w14:textId="77777777" w:rsidR="009B3F03" w:rsidRPr="00B043C9" w:rsidRDefault="009B3F03" w:rsidP="009B3F03">
                            <w:pPr>
                              <w:pStyle w:val="Listenabsatz"/>
                              <w:numPr>
                                <w:ilvl w:val="0"/>
                                <w:numId w:val="4"/>
                              </w:numPr>
                              <w:spacing w:before="120" w:after="120" w:line="312" w:lineRule="auto"/>
                              <w:jc w:val="both"/>
                              <w:rPr>
                                <w:rFonts w:ascii="Arial" w:hAnsi="Arial" w:cs="Arial"/>
                              </w:rPr>
                            </w:pPr>
                            <w:r w:rsidRPr="00B043C9">
                              <w:rPr>
                                <w:rFonts w:ascii="Arial" w:hAnsi="Arial" w:cs="Arial"/>
                              </w:rPr>
                              <w:t xml:space="preserve">Einsatz von </w:t>
                            </w:r>
                            <w:r w:rsidRPr="005F7123">
                              <w:rPr>
                                <w:rFonts w:ascii="Arial" w:hAnsi="Arial" w:cs="Arial"/>
                                <w:b/>
                                <w:bCs/>
                              </w:rPr>
                              <w:t>Wirkstoffkombinationen</w:t>
                            </w:r>
                          </w:p>
                          <w:p w14:paraId="299EEFB0" w14:textId="77777777" w:rsidR="009B3F03" w:rsidRPr="00B043C9" w:rsidRDefault="009B3F03" w:rsidP="009B3F03">
                            <w:pPr>
                              <w:pStyle w:val="Listenabsatz"/>
                              <w:numPr>
                                <w:ilvl w:val="0"/>
                                <w:numId w:val="4"/>
                              </w:numPr>
                              <w:spacing w:before="120" w:after="120" w:line="312" w:lineRule="auto"/>
                              <w:jc w:val="both"/>
                              <w:rPr>
                                <w:rFonts w:ascii="Arial" w:hAnsi="Arial" w:cs="Arial"/>
                              </w:rPr>
                            </w:pPr>
                            <w:r w:rsidRPr="00B043C9">
                              <w:rPr>
                                <w:rFonts w:ascii="Arial" w:hAnsi="Arial" w:cs="Arial"/>
                              </w:rPr>
                              <w:t>Teilflächenbehandlungen</w:t>
                            </w:r>
                          </w:p>
                          <w:p w14:paraId="515E0AD4" w14:textId="77777777" w:rsidR="009B3F03" w:rsidRDefault="009B3F03" w:rsidP="009B3F03"/>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06DBEF6" id="_x0000_t202" coordsize="21600,21600" o:spt="202" path="m,l,21600r21600,l21600,xe">
                <v:stroke joinstyle="miter"/>
                <v:path gradientshapeok="t" o:connecttype="rect"/>
              </v:shapetype>
              <v:shape id="Textfeld 2" o:spid="_x0000_s1026" type="#_x0000_t202" style="position:absolute;left:0;text-align:left;margin-left:.25pt;margin-top:.8pt;width:474.8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">
                <v:textbox style="mso-fit-shape-to-text:t">
                  <w:txbxContent>
                    <w:p w14:paraId="7C176165" w14:textId="77777777" w:rsidR="009B3F03" w:rsidRPr="00B043C9" w:rsidRDefault="009B3F03" w:rsidP="009B3F03">
                      <w:pPr>
                        <w:pStyle w:val="Listenabsatz"/>
                        <w:numPr>
                          <w:ilvl w:val="0"/>
                          <w:numId w:val="4"/>
                        </w:numPr>
                        <w:spacing w:before="120" w:after="120" w:line="312" w:lineRule="auto"/>
                        <w:jc w:val="both"/>
                        <w:rPr>
                          <w:rFonts w:ascii="Arial" w:hAnsi="Arial" w:cs="Arial"/>
                        </w:rPr>
                      </w:pPr>
                      <w:r w:rsidRPr="00B043C9">
                        <w:rPr>
                          <w:rFonts w:ascii="Arial" w:hAnsi="Arial" w:cs="Arial"/>
                        </w:rPr>
                        <w:t xml:space="preserve">Bei jeder PS-Maßnahme </w:t>
                      </w:r>
                      <w:r w:rsidRPr="005F7123">
                        <w:rPr>
                          <w:rFonts w:ascii="Arial" w:hAnsi="Arial" w:cs="Arial"/>
                          <w:b/>
                          <w:bCs/>
                        </w:rPr>
                        <w:t>optimale Wirksamkeit</w:t>
                      </w:r>
                      <w:r w:rsidRPr="00B043C9">
                        <w:rPr>
                          <w:rFonts w:ascii="Arial" w:hAnsi="Arial" w:cs="Arial"/>
                        </w:rPr>
                        <w:t xml:space="preserve"> sicherstellen</w:t>
                      </w:r>
                    </w:p>
                    <w:p w14:paraId="28006524" w14:textId="77777777" w:rsidR="009B3F03" w:rsidRPr="00B043C9" w:rsidRDefault="009B3F03" w:rsidP="009B3F03">
                      <w:pPr>
                        <w:pStyle w:val="Listenabsatz"/>
                        <w:numPr>
                          <w:ilvl w:val="0"/>
                          <w:numId w:val="4"/>
                        </w:numPr>
                        <w:spacing w:before="120" w:after="120" w:line="312" w:lineRule="auto"/>
                        <w:jc w:val="both"/>
                        <w:rPr>
                          <w:rFonts w:ascii="Arial" w:hAnsi="Arial" w:cs="Arial"/>
                        </w:rPr>
                      </w:pPr>
                      <w:r w:rsidRPr="00B043C9">
                        <w:rPr>
                          <w:rFonts w:ascii="Arial" w:hAnsi="Arial" w:cs="Arial"/>
                        </w:rPr>
                        <w:t>Beschränkung der Anwendungshäufigkeit auf ein notwendiges Maß (unbedingt vorbeugende Maßnahmen ergreifen, wie z.B. weitgestellte Fruchtfolge)</w:t>
                      </w:r>
                    </w:p>
                    <w:p w14:paraId="3234DCE3" w14:textId="77777777" w:rsidR="009B3F03" w:rsidRPr="00B043C9" w:rsidRDefault="009B3F03" w:rsidP="009B3F03">
                      <w:pPr>
                        <w:pStyle w:val="Listenabsatz"/>
                        <w:numPr>
                          <w:ilvl w:val="0"/>
                          <w:numId w:val="4"/>
                        </w:numPr>
                        <w:spacing w:before="120" w:after="120" w:line="312" w:lineRule="auto"/>
                        <w:jc w:val="both"/>
                        <w:rPr>
                          <w:rFonts w:ascii="Arial" w:hAnsi="Arial" w:cs="Arial"/>
                        </w:rPr>
                      </w:pPr>
                      <w:r w:rsidRPr="005F7123">
                        <w:rPr>
                          <w:rFonts w:ascii="Arial" w:hAnsi="Arial" w:cs="Arial"/>
                          <w:b/>
                          <w:bCs/>
                        </w:rPr>
                        <w:t>Wirkstoffwechsel</w:t>
                      </w:r>
                      <w:r w:rsidRPr="005F7123">
                        <w:rPr>
                          <w:rFonts w:ascii="Arial" w:hAnsi="Arial" w:cs="Arial"/>
                        </w:rPr>
                        <w:t xml:space="preserve"> </w:t>
                      </w:r>
                      <w:r w:rsidRPr="00B043C9">
                        <w:rPr>
                          <w:rFonts w:ascii="Arial" w:hAnsi="Arial" w:cs="Arial"/>
                        </w:rPr>
                        <w:t>innerhalb der Saison (dann ist auch eine Unterdosierung wenig problematisch)</w:t>
                      </w:r>
                    </w:p>
                    <w:p w14:paraId="310ABCE5" w14:textId="77777777" w:rsidR="009B3F03" w:rsidRPr="00B043C9" w:rsidRDefault="009B3F03" w:rsidP="009B3F03">
                      <w:pPr>
                        <w:pStyle w:val="Listenabsatz"/>
                        <w:numPr>
                          <w:ilvl w:val="0"/>
                          <w:numId w:val="4"/>
                        </w:numPr>
                        <w:spacing w:before="120" w:after="120" w:line="312" w:lineRule="auto"/>
                        <w:jc w:val="both"/>
                        <w:rPr>
                          <w:rFonts w:ascii="Arial" w:hAnsi="Arial" w:cs="Arial"/>
                        </w:rPr>
                      </w:pPr>
                      <w:r w:rsidRPr="00B043C9">
                        <w:rPr>
                          <w:rFonts w:ascii="Arial" w:hAnsi="Arial" w:cs="Arial"/>
                        </w:rPr>
                        <w:t xml:space="preserve">Einsatz von Wirkstoffen, die an mehreren Stellen (multi-site </w:t>
                      </w:r>
                      <w:proofErr w:type="spellStart"/>
                      <w:r w:rsidRPr="00B043C9">
                        <w:rPr>
                          <w:rFonts w:ascii="Arial" w:hAnsi="Arial" w:cs="Arial"/>
                        </w:rPr>
                        <w:t>inhibitors</w:t>
                      </w:r>
                      <w:proofErr w:type="spellEnd"/>
                      <w:r w:rsidRPr="00B043C9">
                        <w:rPr>
                          <w:rFonts w:ascii="Arial" w:hAnsi="Arial" w:cs="Arial"/>
                        </w:rPr>
                        <w:t xml:space="preserve">) und nicht nur einer Stelle (single-site </w:t>
                      </w:r>
                      <w:proofErr w:type="spellStart"/>
                      <w:r w:rsidRPr="00B043C9">
                        <w:rPr>
                          <w:rFonts w:ascii="Arial" w:hAnsi="Arial" w:cs="Arial"/>
                        </w:rPr>
                        <w:t>inhibitors</w:t>
                      </w:r>
                      <w:proofErr w:type="spellEnd"/>
                      <w:r w:rsidRPr="00B043C9">
                        <w:rPr>
                          <w:rFonts w:ascii="Arial" w:hAnsi="Arial" w:cs="Arial"/>
                        </w:rPr>
                        <w:t>) im Stoffwechsel eingreifen</w:t>
                      </w:r>
                    </w:p>
                    <w:p w14:paraId="03FD5B29" w14:textId="77777777" w:rsidR="009B3F03" w:rsidRPr="00B043C9" w:rsidRDefault="009B3F03" w:rsidP="009B3F03">
                      <w:pPr>
                        <w:pStyle w:val="Listenabsatz"/>
                        <w:numPr>
                          <w:ilvl w:val="0"/>
                          <w:numId w:val="4"/>
                        </w:numPr>
                        <w:spacing w:before="120" w:after="120" w:line="312" w:lineRule="auto"/>
                        <w:jc w:val="both"/>
                        <w:rPr>
                          <w:rFonts w:ascii="Arial" w:hAnsi="Arial" w:cs="Arial"/>
                        </w:rPr>
                      </w:pPr>
                      <w:r w:rsidRPr="00B043C9">
                        <w:rPr>
                          <w:rFonts w:ascii="Arial" w:hAnsi="Arial" w:cs="Arial"/>
                        </w:rPr>
                        <w:t xml:space="preserve">Einsatz von </w:t>
                      </w:r>
                      <w:r w:rsidRPr="005F7123">
                        <w:rPr>
                          <w:rFonts w:ascii="Arial" w:hAnsi="Arial" w:cs="Arial"/>
                          <w:b/>
                          <w:bCs/>
                        </w:rPr>
                        <w:t>Wirkstoffkombinationen</w:t>
                      </w:r>
                    </w:p>
                    <w:p w14:paraId="299EEFB0" w14:textId="77777777" w:rsidR="009B3F03" w:rsidRPr="00B043C9" w:rsidRDefault="009B3F03" w:rsidP="009B3F03">
                      <w:pPr>
                        <w:pStyle w:val="Listenabsatz"/>
                        <w:numPr>
                          <w:ilvl w:val="0"/>
                          <w:numId w:val="4"/>
                        </w:numPr>
                        <w:spacing w:before="120" w:after="120" w:line="312" w:lineRule="auto"/>
                        <w:jc w:val="both"/>
                        <w:rPr>
                          <w:rFonts w:ascii="Arial" w:hAnsi="Arial" w:cs="Arial"/>
                        </w:rPr>
                      </w:pPr>
                      <w:r w:rsidRPr="00B043C9">
                        <w:rPr>
                          <w:rFonts w:ascii="Arial" w:hAnsi="Arial" w:cs="Arial"/>
                        </w:rPr>
                        <w:t>Teilflächenbehandlungen</w:t>
                      </w:r>
                    </w:p>
                    <w:p w14:paraId="515E0AD4" w14:textId="77777777" w:rsidR="009B3F03" w:rsidRDefault="009B3F03" w:rsidP="009B3F03"/>
                  </w:txbxContent>
                </v:textbox>
                <w10:wrap type="square"/>
              </v:shape>
            </w:pict>
          </mc:Fallback>
        </mc:AlternateContent>
      </w:r>
      <w:r w:rsidR="00BF7180" w:rsidRPr="00B043C9">
        <w:rPr>
          <w:rFonts w:ascii="Arial" w:hAnsi="Arial" w:cs="Arial"/>
          <w:i/>
          <w:sz w:val="20"/>
          <w:szCs w:val="20"/>
        </w:rPr>
        <w:t xml:space="preserve">Quelle (z.T. verändert): Hallmann &amp; von Tiedemann, 2019: </w:t>
      </w:r>
      <w:r w:rsidR="00BF7180" w:rsidRPr="00B043C9">
        <w:rPr>
          <w:rFonts w:ascii="Arial" w:hAnsi="Arial" w:cs="Arial"/>
          <w:b/>
          <w:i/>
          <w:sz w:val="20"/>
          <w:szCs w:val="20"/>
        </w:rPr>
        <w:t>Phytomedizin</w:t>
      </w:r>
      <w:r w:rsidR="00BF7180" w:rsidRPr="00B043C9">
        <w:rPr>
          <w:rFonts w:ascii="Arial" w:hAnsi="Arial" w:cs="Arial"/>
          <w:i/>
          <w:sz w:val="20"/>
          <w:szCs w:val="20"/>
        </w:rPr>
        <w:t>. UTB Verlag</w:t>
      </w:r>
    </w:p>
    <w:p w14:paraId="2157B54B" w14:textId="77777777" w:rsidR="00BB25CA" w:rsidRDefault="00BB25CA" w:rsidP="005F7123"/>
    <w:sectPr w:rsidR="00BB25CA" w:rsidSect="004012BB">
      <w:headerReference w:type="default" r:id="rId7"/>
      <w:pgSz w:w="11906" w:h="16838"/>
      <w:pgMar w:top="1843" w:right="851" w:bottom="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7D412E" w14:textId="77777777" w:rsidR="009D6DF0" w:rsidRDefault="009D6DF0" w:rsidP="00B57DD6">
      <w:r>
        <w:separator/>
      </w:r>
    </w:p>
  </w:endnote>
  <w:endnote w:type="continuationSeparator" w:id="0">
    <w:p w14:paraId="6665B671" w14:textId="77777777" w:rsidR="009D6DF0" w:rsidRDefault="009D6DF0" w:rsidP="00B57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04CCAB" w14:textId="77777777" w:rsidR="009D6DF0" w:rsidRDefault="009D6DF0" w:rsidP="00B57DD6">
      <w:r>
        <w:separator/>
      </w:r>
    </w:p>
  </w:footnote>
  <w:footnote w:type="continuationSeparator" w:id="0">
    <w:p w14:paraId="1E7B6243" w14:textId="77777777" w:rsidR="009D6DF0" w:rsidRDefault="009D6DF0" w:rsidP="00B57D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497" w:type="dxa"/>
      <w:tblInd w:w="-5" w:type="dxa"/>
      <w:tblLook w:val="04A0" w:firstRow="1" w:lastRow="0" w:firstColumn="1" w:lastColumn="0" w:noHBand="0" w:noVBand="1"/>
    </w:tblPr>
    <w:tblGrid>
      <w:gridCol w:w="2049"/>
      <w:gridCol w:w="6475"/>
      <w:gridCol w:w="973"/>
    </w:tblGrid>
    <w:tr w:rsidR="001F2C8B" w14:paraId="17AAD915" w14:textId="77777777" w:rsidTr="003A166A">
      <w:trPr>
        <w:trHeight w:val="657"/>
      </w:trPr>
      <w:tc>
        <w:tcPr>
          <w:tcW w:w="2018" w:type="dxa"/>
          <w:vMerge w:val="restart"/>
        </w:tcPr>
        <w:p w14:paraId="4FB46C2B" w14:textId="64D5F1DC" w:rsidR="001F2C8B" w:rsidRPr="00B043C9" w:rsidRDefault="001F2C8B" w:rsidP="009E352F">
          <w:pPr>
            <w:spacing w:before="40" w:after="40"/>
            <w:jc w:val="center"/>
            <w:rPr>
              <w:rFonts w:ascii="Arial" w:hAnsi="Arial" w:cs="Arial"/>
              <w:bCs/>
              <w:i/>
              <w:iCs/>
              <w:sz w:val="22"/>
              <w:szCs w:val="22"/>
            </w:rPr>
          </w:pPr>
          <w:r w:rsidRPr="00B043C9">
            <w:rPr>
              <w:rFonts w:ascii="Arial" w:hAnsi="Arial" w:cs="Arial"/>
              <w:bCs/>
              <w:i/>
              <w:iCs/>
              <w:sz w:val="22"/>
              <w:szCs w:val="22"/>
            </w:rPr>
            <w:t>SCHULLOGO</w:t>
          </w:r>
        </w:p>
      </w:tc>
      <w:tc>
        <w:tcPr>
          <w:tcW w:w="6379" w:type="dxa"/>
          <w:vAlign w:val="center"/>
        </w:tcPr>
        <w:p w14:paraId="57A69A44" w14:textId="6C8CB12C" w:rsidR="001F2C8B" w:rsidRPr="00B043C9" w:rsidRDefault="001F2C8B" w:rsidP="009E352F">
          <w:pPr>
            <w:spacing w:before="40" w:after="40"/>
            <w:rPr>
              <w:rFonts w:ascii="Arial" w:hAnsi="Arial" w:cs="Arial"/>
              <w:b/>
              <w:sz w:val="22"/>
              <w:szCs w:val="22"/>
            </w:rPr>
          </w:pPr>
          <w:r w:rsidRPr="00B043C9">
            <w:rPr>
              <w:rFonts w:ascii="Arial" w:hAnsi="Arial" w:cs="Arial"/>
              <w:b/>
              <w:sz w:val="22"/>
              <w:szCs w:val="22"/>
            </w:rPr>
            <w:t>Resistenzen gegen chemische Pflanzenschutzmittel vermeiden</w:t>
          </w:r>
        </w:p>
      </w:tc>
      <w:tc>
        <w:tcPr>
          <w:tcW w:w="959" w:type="dxa"/>
          <w:vAlign w:val="center"/>
        </w:tcPr>
        <w:p w14:paraId="2D790B14" w14:textId="551390C5" w:rsidR="001F2C8B" w:rsidRPr="004012BB" w:rsidRDefault="001F2C8B" w:rsidP="00B57DD6">
          <w:pPr>
            <w:spacing w:before="40" w:after="40"/>
            <w:jc w:val="center"/>
            <w:rPr>
              <w:rFonts w:ascii="Arial" w:hAnsi="Arial" w:cs="Arial"/>
              <w:bCs/>
              <w:i/>
              <w:iCs/>
              <w:sz w:val="22"/>
              <w:szCs w:val="22"/>
            </w:rPr>
          </w:pPr>
          <w:r w:rsidRPr="004012BB">
            <w:rPr>
              <w:rFonts w:ascii="Arial" w:hAnsi="Arial" w:cs="Arial"/>
              <w:bCs/>
              <w:i/>
              <w:iCs/>
              <w:sz w:val="22"/>
              <w:szCs w:val="22"/>
            </w:rPr>
            <w:t xml:space="preserve">LS </w:t>
          </w:r>
          <w:r w:rsidR="009E352F" w:rsidRPr="004012BB">
            <w:rPr>
              <w:rFonts w:ascii="Arial" w:hAnsi="Arial" w:cs="Arial"/>
              <w:bCs/>
              <w:i/>
              <w:iCs/>
              <w:sz w:val="22"/>
              <w:szCs w:val="22"/>
            </w:rPr>
            <w:t xml:space="preserve">Nr. </w:t>
          </w:r>
          <w:r w:rsidRPr="004012BB">
            <w:rPr>
              <w:rFonts w:ascii="Arial" w:hAnsi="Arial" w:cs="Arial"/>
              <w:bCs/>
              <w:i/>
              <w:iCs/>
              <w:sz w:val="22"/>
              <w:szCs w:val="22"/>
            </w:rPr>
            <w:t>4.</w:t>
          </w:r>
          <w:r w:rsidR="00DE6A29" w:rsidRPr="004012BB">
            <w:rPr>
              <w:rFonts w:ascii="Arial" w:hAnsi="Arial" w:cs="Arial"/>
              <w:bCs/>
              <w:i/>
              <w:iCs/>
              <w:sz w:val="22"/>
              <w:szCs w:val="22"/>
            </w:rPr>
            <w:t>4</w:t>
          </w:r>
        </w:p>
      </w:tc>
    </w:tr>
    <w:tr w:rsidR="001F2C8B" w14:paraId="1ECC898A" w14:textId="77777777" w:rsidTr="003A166A">
      <w:trPr>
        <w:trHeight w:val="657"/>
      </w:trPr>
      <w:tc>
        <w:tcPr>
          <w:tcW w:w="2018" w:type="dxa"/>
          <w:vMerge/>
          <w:vAlign w:val="center"/>
        </w:tcPr>
        <w:p w14:paraId="1056B3CD" w14:textId="77777777" w:rsidR="001F2C8B" w:rsidRPr="00B043C9" w:rsidRDefault="001F2C8B" w:rsidP="00B57DD6">
          <w:pPr>
            <w:spacing w:before="40" w:after="40"/>
            <w:rPr>
              <w:rFonts w:ascii="Arial" w:hAnsi="Arial" w:cs="Arial"/>
              <w:b/>
              <w:sz w:val="22"/>
              <w:szCs w:val="22"/>
            </w:rPr>
          </w:pPr>
        </w:p>
      </w:tc>
      <w:tc>
        <w:tcPr>
          <w:tcW w:w="6379" w:type="dxa"/>
          <w:vAlign w:val="center"/>
        </w:tcPr>
        <w:p w14:paraId="693C89A6" w14:textId="6C6DD75A" w:rsidR="001F2C8B" w:rsidRPr="00B043C9" w:rsidRDefault="001F2C8B" w:rsidP="009E352F">
          <w:pPr>
            <w:spacing w:before="40" w:after="40"/>
            <w:rPr>
              <w:rFonts w:ascii="Arial" w:hAnsi="Arial" w:cs="Arial"/>
              <w:b/>
              <w:sz w:val="22"/>
              <w:szCs w:val="22"/>
            </w:rPr>
          </w:pPr>
          <w:r w:rsidRPr="00B043C9">
            <w:rPr>
              <w:rFonts w:ascii="Arial" w:hAnsi="Arial" w:cs="Arial"/>
              <w:b/>
              <w:sz w:val="22"/>
              <w:szCs w:val="22"/>
            </w:rPr>
            <w:t xml:space="preserve">Infotext </w:t>
          </w:r>
          <w:r w:rsidR="009E352F" w:rsidRPr="009E352F">
            <w:rPr>
              <w:rFonts w:ascii="Arial" w:hAnsi="Arial" w:cs="Arial"/>
              <w:b/>
              <w:sz w:val="22"/>
              <w:szCs w:val="22"/>
            </w:rPr>
            <w:t>Resistenzen und Resistenzmanagement</w:t>
          </w:r>
        </w:p>
      </w:tc>
      <w:tc>
        <w:tcPr>
          <w:tcW w:w="959" w:type="dxa"/>
          <w:vAlign w:val="center"/>
        </w:tcPr>
        <w:p w14:paraId="52799EC3" w14:textId="7E87DAFB" w:rsidR="001F2C8B" w:rsidRPr="00B043C9" w:rsidRDefault="001F2C8B" w:rsidP="00B57DD6">
          <w:pPr>
            <w:spacing w:before="40" w:after="40"/>
            <w:jc w:val="center"/>
            <w:rPr>
              <w:rFonts w:ascii="Arial" w:hAnsi="Arial" w:cs="Arial"/>
              <w:b/>
              <w:sz w:val="22"/>
              <w:szCs w:val="22"/>
            </w:rPr>
          </w:pPr>
          <w:r w:rsidRPr="00B043C9">
            <w:rPr>
              <w:rFonts w:ascii="Arial" w:hAnsi="Arial" w:cs="Arial"/>
              <w:b/>
              <w:sz w:val="22"/>
              <w:szCs w:val="22"/>
            </w:rPr>
            <w:t>M01</w:t>
          </w:r>
        </w:p>
      </w:tc>
    </w:tr>
  </w:tbl>
  <w:p w14:paraId="74101C54" w14:textId="5411A4B8" w:rsidR="00B57DD6" w:rsidRDefault="00B57DD6">
    <w:pPr>
      <w:pStyle w:val="Kopfzeile"/>
    </w:pPr>
  </w:p>
  <w:p w14:paraId="52183AB6" w14:textId="77777777" w:rsidR="00B57DD6" w:rsidRDefault="00B57DD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F43A5"/>
    <w:multiLevelType w:val="hybridMultilevel"/>
    <w:tmpl w:val="C3E81E8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2D7D5A8F"/>
    <w:multiLevelType w:val="hybridMultilevel"/>
    <w:tmpl w:val="CC1252EA"/>
    <w:lvl w:ilvl="0" w:tplc="9D069798">
      <w:numFmt w:val="bullet"/>
      <w:lvlText w:val="-"/>
      <w:lvlJc w:val="left"/>
      <w:pPr>
        <w:ind w:left="360" w:hanging="360"/>
      </w:pPr>
      <w:rPr>
        <w:rFonts w:ascii="Arial" w:eastAsia="Calibri"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4ECB7DD9"/>
    <w:multiLevelType w:val="hybridMultilevel"/>
    <w:tmpl w:val="B62C423C"/>
    <w:lvl w:ilvl="0" w:tplc="4D5083EE">
      <w:numFmt w:val="bullet"/>
      <w:lvlText w:val="-"/>
      <w:lvlJc w:val="left"/>
      <w:pPr>
        <w:ind w:left="3479" w:hanging="360"/>
      </w:pPr>
      <w:rPr>
        <w:rFonts w:ascii="Arial" w:eastAsia="Calibri" w:hAnsi="Arial" w:cs="Arial" w:hint="default"/>
      </w:rPr>
    </w:lvl>
    <w:lvl w:ilvl="1" w:tplc="04090003" w:tentative="1">
      <w:start w:val="1"/>
      <w:numFmt w:val="bullet"/>
      <w:lvlText w:val="o"/>
      <w:lvlJc w:val="left"/>
      <w:pPr>
        <w:ind w:left="4199" w:hanging="360"/>
      </w:pPr>
      <w:rPr>
        <w:rFonts w:ascii="Courier New" w:hAnsi="Courier New" w:cs="Courier New" w:hint="default"/>
      </w:rPr>
    </w:lvl>
    <w:lvl w:ilvl="2" w:tplc="04090005" w:tentative="1">
      <w:start w:val="1"/>
      <w:numFmt w:val="bullet"/>
      <w:lvlText w:val=""/>
      <w:lvlJc w:val="left"/>
      <w:pPr>
        <w:ind w:left="4919" w:hanging="360"/>
      </w:pPr>
      <w:rPr>
        <w:rFonts w:ascii="Wingdings" w:hAnsi="Wingdings" w:hint="default"/>
      </w:rPr>
    </w:lvl>
    <w:lvl w:ilvl="3" w:tplc="04090001" w:tentative="1">
      <w:start w:val="1"/>
      <w:numFmt w:val="bullet"/>
      <w:lvlText w:val=""/>
      <w:lvlJc w:val="left"/>
      <w:pPr>
        <w:ind w:left="5639" w:hanging="360"/>
      </w:pPr>
      <w:rPr>
        <w:rFonts w:ascii="Symbol" w:hAnsi="Symbol" w:hint="default"/>
      </w:rPr>
    </w:lvl>
    <w:lvl w:ilvl="4" w:tplc="04090003" w:tentative="1">
      <w:start w:val="1"/>
      <w:numFmt w:val="bullet"/>
      <w:lvlText w:val="o"/>
      <w:lvlJc w:val="left"/>
      <w:pPr>
        <w:ind w:left="6359" w:hanging="360"/>
      </w:pPr>
      <w:rPr>
        <w:rFonts w:ascii="Courier New" w:hAnsi="Courier New" w:cs="Courier New" w:hint="default"/>
      </w:rPr>
    </w:lvl>
    <w:lvl w:ilvl="5" w:tplc="04090005" w:tentative="1">
      <w:start w:val="1"/>
      <w:numFmt w:val="bullet"/>
      <w:lvlText w:val=""/>
      <w:lvlJc w:val="left"/>
      <w:pPr>
        <w:ind w:left="7079" w:hanging="360"/>
      </w:pPr>
      <w:rPr>
        <w:rFonts w:ascii="Wingdings" w:hAnsi="Wingdings" w:hint="default"/>
      </w:rPr>
    </w:lvl>
    <w:lvl w:ilvl="6" w:tplc="04090001" w:tentative="1">
      <w:start w:val="1"/>
      <w:numFmt w:val="bullet"/>
      <w:lvlText w:val=""/>
      <w:lvlJc w:val="left"/>
      <w:pPr>
        <w:ind w:left="7799" w:hanging="360"/>
      </w:pPr>
      <w:rPr>
        <w:rFonts w:ascii="Symbol" w:hAnsi="Symbol" w:hint="default"/>
      </w:rPr>
    </w:lvl>
    <w:lvl w:ilvl="7" w:tplc="04090003" w:tentative="1">
      <w:start w:val="1"/>
      <w:numFmt w:val="bullet"/>
      <w:lvlText w:val="o"/>
      <w:lvlJc w:val="left"/>
      <w:pPr>
        <w:ind w:left="8519" w:hanging="360"/>
      </w:pPr>
      <w:rPr>
        <w:rFonts w:ascii="Courier New" w:hAnsi="Courier New" w:cs="Courier New" w:hint="default"/>
      </w:rPr>
    </w:lvl>
    <w:lvl w:ilvl="8" w:tplc="04090005" w:tentative="1">
      <w:start w:val="1"/>
      <w:numFmt w:val="bullet"/>
      <w:lvlText w:val=""/>
      <w:lvlJc w:val="left"/>
      <w:pPr>
        <w:ind w:left="9239" w:hanging="360"/>
      </w:pPr>
      <w:rPr>
        <w:rFonts w:ascii="Wingdings" w:hAnsi="Wingdings" w:hint="default"/>
      </w:rPr>
    </w:lvl>
  </w:abstractNum>
  <w:abstractNum w:abstractNumId="3" w15:restartNumberingAfterBreak="0">
    <w:nsid w:val="603A601C"/>
    <w:multiLevelType w:val="hybridMultilevel"/>
    <w:tmpl w:val="13621B02"/>
    <w:lvl w:ilvl="0" w:tplc="9D069798">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autoHyphenation/>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7180"/>
    <w:rsid w:val="0000596B"/>
    <w:rsid w:val="00090427"/>
    <w:rsid w:val="00170F6C"/>
    <w:rsid w:val="001F2C8B"/>
    <w:rsid w:val="002A76BC"/>
    <w:rsid w:val="003A166A"/>
    <w:rsid w:val="004012BB"/>
    <w:rsid w:val="00451391"/>
    <w:rsid w:val="005942F3"/>
    <w:rsid w:val="005F7123"/>
    <w:rsid w:val="006A3CCF"/>
    <w:rsid w:val="006C1CA6"/>
    <w:rsid w:val="00987EDC"/>
    <w:rsid w:val="009B3F03"/>
    <w:rsid w:val="009D6DF0"/>
    <w:rsid w:val="009E352F"/>
    <w:rsid w:val="00B043C9"/>
    <w:rsid w:val="00B57DD6"/>
    <w:rsid w:val="00BB25CA"/>
    <w:rsid w:val="00BB2C14"/>
    <w:rsid w:val="00BF7180"/>
    <w:rsid w:val="00C82E2D"/>
    <w:rsid w:val="00CF099B"/>
    <w:rsid w:val="00DE6A29"/>
    <w:rsid w:val="00EF7DB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66FEE60"/>
  <w15:chartTrackingRefBased/>
  <w15:docId w15:val="{44AA37BA-426A-4B0E-A266-B5B206B7D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F7180"/>
    <w:pPr>
      <w:spacing w:after="0" w:line="240" w:lineRule="auto"/>
    </w:pPr>
    <w:rPr>
      <w:rFonts w:ascii="Times New Roman" w:eastAsia="Times New Roman" w:hAnsi="Times New Roman" w:cs="Times New Roman"/>
      <w:kern w:val="0"/>
      <w:sz w:val="24"/>
      <w:szCs w:val="24"/>
      <w:lang w:eastAsia="de-DE"/>
      <w14:ligatures w14:val="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99"/>
    <w:rsid w:val="00BF7180"/>
    <w:pPr>
      <w:spacing w:after="0" w:line="240" w:lineRule="auto"/>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BF7180"/>
    <w:pPr>
      <w:spacing w:after="200" w:line="276" w:lineRule="auto"/>
      <w:ind w:left="720"/>
      <w:contextualSpacing/>
    </w:pPr>
    <w:rPr>
      <w:rFonts w:asciiTheme="minorHAnsi" w:eastAsiaTheme="minorHAnsi" w:hAnsiTheme="minorHAnsi" w:cstheme="minorBidi"/>
      <w:sz w:val="22"/>
      <w:szCs w:val="22"/>
      <w:lang w:eastAsia="en-US"/>
    </w:rPr>
  </w:style>
  <w:style w:type="paragraph" w:styleId="Kopfzeile">
    <w:name w:val="header"/>
    <w:basedOn w:val="Standard"/>
    <w:link w:val="KopfzeileZchn"/>
    <w:uiPriority w:val="99"/>
    <w:unhideWhenUsed/>
    <w:rsid w:val="00B57DD6"/>
    <w:pPr>
      <w:tabs>
        <w:tab w:val="center" w:pos="4536"/>
        <w:tab w:val="right" w:pos="9072"/>
      </w:tabs>
    </w:pPr>
  </w:style>
  <w:style w:type="character" w:customStyle="1" w:styleId="KopfzeileZchn">
    <w:name w:val="Kopfzeile Zchn"/>
    <w:basedOn w:val="Absatz-Standardschriftart"/>
    <w:link w:val="Kopfzeile"/>
    <w:uiPriority w:val="99"/>
    <w:rsid w:val="00B57DD6"/>
    <w:rPr>
      <w:rFonts w:ascii="Times New Roman" w:eastAsia="Times New Roman" w:hAnsi="Times New Roman" w:cs="Times New Roman"/>
      <w:kern w:val="0"/>
      <w:sz w:val="24"/>
      <w:szCs w:val="24"/>
      <w:lang w:eastAsia="de-DE"/>
      <w14:ligatures w14:val="none"/>
    </w:rPr>
  </w:style>
  <w:style w:type="paragraph" w:styleId="Fuzeile">
    <w:name w:val="footer"/>
    <w:basedOn w:val="Standard"/>
    <w:link w:val="FuzeileZchn"/>
    <w:uiPriority w:val="99"/>
    <w:unhideWhenUsed/>
    <w:rsid w:val="00B57DD6"/>
    <w:pPr>
      <w:tabs>
        <w:tab w:val="center" w:pos="4536"/>
        <w:tab w:val="right" w:pos="9072"/>
      </w:tabs>
    </w:pPr>
  </w:style>
  <w:style w:type="character" w:customStyle="1" w:styleId="FuzeileZchn">
    <w:name w:val="Fußzeile Zchn"/>
    <w:basedOn w:val="Absatz-Standardschriftart"/>
    <w:link w:val="Fuzeile"/>
    <w:uiPriority w:val="99"/>
    <w:rsid w:val="00B57DD6"/>
    <w:rPr>
      <w:rFonts w:ascii="Times New Roman" w:eastAsia="Times New Roman" w:hAnsi="Times New Roman" w:cs="Times New Roman"/>
      <w:kern w:val="0"/>
      <w:sz w:val="24"/>
      <w:szCs w:val="24"/>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252</Words>
  <Characters>1591</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K541 des Niedersächsischen Kultusministeriums</dc:creator>
  <cp:keywords/>
  <dc:description/>
  <cp:lastModifiedBy>Bodenstedt, Christian (NLQ)</cp:lastModifiedBy>
  <cp:revision>2</cp:revision>
  <dcterms:created xsi:type="dcterms:W3CDTF">2025-08-13T13:40:00Z</dcterms:created>
  <dcterms:modified xsi:type="dcterms:W3CDTF">2025-08-13T13:40:00Z</dcterms:modified>
</cp:coreProperties>
</file>